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9C1EF">
      <w:pPr>
        <w:jc w:val="center"/>
        <w:rPr>
          <w:rFonts w:hint="eastAsia"/>
          <w:b/>
          <w:bCs/>
        </w:rPr>
      </w:pPr>
    </w:p>
    <w:p w14:paraId="526F4431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普美生物外部代测服务管理制度（V1.0）</w:t>
      </w:r>
    </w:p>
    <w:p w14:paraId="353A24B3">
      <w:pPr>
        <w:jc w:val="center"/>
        <w:rPr>
          <w:rFonts w:hint="eastAsia"/>
          <w:b/>
          <w:bCs/>
        </w:rPr>
      </w:pPr>
    </w:p>
    <w:p w14:paraId="45ACCD0D">
      <w:pPr>
        <w:numPr>
          <w:ilvl w:val="0"/>
          <w:numId w:val="1"/>
        </w:numPr>
        <w:jc w:val="both"/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总则</w:t>
      </w:r>
    </w:p>
    <w:p w14:paraId="794FA19D">
      <w:pPr>
        <w:jc w:val="both"/>
        <w:rPr>
          <w:rFonts w:hint="eastAsia"/>
          <w:b w:val="0"/>
          <w:bCs w:val="0"/>
        </w:rPr>
      </w:pPr>
    </w:p>
    <w:p w14:paraId="18085F2F">
      <w:pPr>
        <w:jc w:val="both"/>
        <w:rPr>
          <w:rFonts w:hint="eastAsia"/>
          <w:b w:val="0"/>
          <w:bCs w:val="0"/>
        </w:rPr>
      </w:pPr>
      <w:r>
        <w:rPr>
          <w:rFonts w:hint="eastAsia"/>
          <w:b/>
          <w:bCs/>
        </w:rPr>
        <w:t>第一条 目的</w:t>
      </w:r>
    </w:p>
    <w:p w14:paraId="117F637C">
      <w:pPr>
        <w:jc w:val="both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为规范外部代测服务流程，确保项目信息准确、过程可追溯、结果可交付，提升服务专业性、可靠性及客户满意度，特制定本制度。</w:t>
      </w:r>
    </w:p>
    <w:p w14:paraId="0428A146">
      <w:pPr>
        <w:jc w:val="both"/>
        <w:rPr>
          <w:rFonts w:hint="eastAsia"/>
          <w:b w:val="0"/>
          <w:bCs w:val="0"/>
        </w:rPr>
      </w:pPr>
    </w:p>
    <w:p w14:paraId="0BF1591C">
      <w:pPr>
        <w:jc w:val="both"/>
        <w:rPr>
          <w:rFonts w:hint="eastAsia"/>
          <w:b w:val="0"/>
          <w:bCs w:val="0"/>
        </w:rPr>
      </w:pPr>
      <w:r>
        <w:rPr>
          <w:rFonts w:hint="eastAsia"/>
          <w:b/>
          <w:bCs/>
        </w:rPr>
        <w:t>第二条 适用范围</w:t>
      </w:r>
    </w:p>
    <w:p w14:paraId="579D2409">
      <w:pPr>
        <w:jc w:val="both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本制度适用于所有由客户（包括直接客户及通过代理商提交的客户）委托，由公司提供实验技术服务的代测项目。</w:t>
      </w:r>
    </w:p>
    <w:p w14:paraId="1FDA1937">
      <w:pPr>
        <w:jc w:val="both"/>
        <w:rPr>
          <w:rFonts w:hint="eastAsia"/>
          <w:b w:val="0"/>
          <w:bCs w:val="0"/>
        </w:rPr>
      </w:pPr>
    </w:p>
    <w:p w14:paraId="51EABA6C">
      <w:pPr>
        <w:jc w:val="both"/>
        <w:rPr>
          <w:rFonts w:hint="eastAsia"/>
          <w:b w:val="0"/>
          <w:bCs w:val="0"/>
        </w:rPr>
      </w:pPr>
      <w:r>
        <w:rPr>
          <w:rFonts w:hint="eastAsia"/>
          <w:b/>
          <w:bCs/>
        </w:rPr>
        <w:t>第三条 核心原则</w:t>
      </w:r>
    </w:p>
    <w:p w14:paraId="4FD4D890">
      <w:pPr>
        <w:jc w:val="both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记录可溯原则：所有关键环节必须书面记录并归档，确保信息链完整、真实。</w:t>
      </w:r>
    </w:p>
    <w:p w14:paraId="5568604E">
      <w:pPr>
        <w:jc w:val="both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信息闭环原则：客户信息、样本信息、实验信息、结果信息必须实现闭环核对与传递。</w:t>
      </w:r>
    </w:p>
    <w:p w14:paraId="4413F3C8">
      <w:pPr>
        <w:jc w:val="both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权责明确原则：明确各环节对接人（PM、区域经理、研发人员）的责任，避免信息失真与推诿。</w:t>
      </w:r>
    </w:p>
    <w:p w14:paraId="27918AEC">
      <w:pPr>
        <w:jc w:val="both"/>
        <w:rPr>
          <w:rFonts w:hint="eastAsia"/>
          <w:b w:val="0"/>
          <w:bCs w:val="0"/>
        </w:rPr>
      </w:pPr>
    </w:p>
    <w:p w14:paraId="4C4761C3">
      <w:pPr>
        <w:jc w:val="both"/>
        <w:rPr>
          <w:rFonts w:hint="eastAsia"/>
          <w:b/>
          <w:bCs/>
        </w:rPr>
      </w:pPr>
      <w:r>
        <w:rPr>
          <w:rFonts w:hint="eastAsia"/>
          <w:b/>
          <w:bCs/>
        </w:rPr>
        <w:t>第二章 流程、角色与职责</w:t>
      </w:r>
    </w:p>
    <w:p w14:paraId="5B3C4EC6">
      <w:pPr>
        <w:jc w:val="both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所有代测项目必须遵循“</w:t>
      </w:r>
      <w:r>
        <w:rPr>
          <w:rFonts w:hint="eastAsia"/>
          <w:b/>
          <w:bCs/>
        </w:rPr>
        <w:t>前期接洽-合同订立-样本交接-项目执行-结果交付-资料归档</w:t>
      </w:r>
      <w:r>
        <w:rPr>
          <w:rFonts w:hint="eastAsia"/>
          <w:b w:val="0"/>
          <w:bCs w:val="0"/>
        </w:rPr>
        <w:t>”的标准化流程。下图清晰地展示了这一全流程、角色与关键交付物：</w:t>
      </w:r>
    </w:p>
    <w:p w14:paraId="4268A03B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 xml:space="preserve"> </w:t>
      </w:r>
    </w:p>
    <w:p w14:paraId="6572919A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/>
          <w:bCs/>
          <w:lang w:eastAsia="zh-CN"/>
        </w:rPr>
        <w:t>各核心角色职责定义：</w:t>
      </w:r>
    </w:p>
    <w:p w14:paraId="1EE9A1B1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区域经理/代理商：负责客户接洽、需求初步评估、合同与信息表发送、费用沟通，并作为客户的主要对接窗口。</w:t>
      </w:r>
    </w:p>
    <w:p w14:paraId="1CBDD7A1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代测项目管理员：是服务流程的核心协调者与记录者，负责从样本接收到最终交付的全流程跟踪、记录与文档管理。</w:t>
      </w:r>
    </w:p>
    <w:p w14:paraId="652E60B6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研发部：作为技术执行方，严格按照合同约定的实验流程操作，并及时向PM反馈实验进度、异常或原始数据。</w:t>
      </w:r>
    </w:p>
    <w:p w14:paraId="24EDFE1A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drawing>
          <wp:inline distT="0" distB="0" distL="114300" distR="114300">
            <wp:extent cx="4582160" cy="2802890"/>
            <wp:effectExtent l="0" t="0" r="8890" b="16510"/>
            <wp:docPr id="1" name="图片 1" descr="通用技术架构图、系统功能架构图、系统整体架构图、系统业务架构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通用技术架构图、系统功能架构图、系统整体架构图、系统业务架构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5A436">
      <w:pPr>
        <w:jc w:val="both"/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t>第三章 关键制度细则</w:t>
      </w:r>
    </w:p>
    <w:p w14:paraId="2B40C8CA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/>
          <w:bCs/>
          <w:lang w:eastAsia="zh-CN"/>
        </w:rPr>
        <w:t>第四条 事件记录与沟通管理制度</w:t>
      </w:r>
    </w:p>
    <w:p w14:paraId="7D8AE3C5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所有与客户/代理商就项目需求、样本问题、结果反馈进行的关键沟通（尤其是可能产生分歧的内容），必须通过邮件或公司认可的内部系统（如</w:t>
      </w:r>
      <w:r>
        <w:rPr>
          <w:rFonts w:hint="eastAsia"/>
          <w:b w:val="0"/>
          <w:bCs w:val="0"/>
          <w:lang w:eastAsia="zh-CN"/>
        </w:rPr>
        <w:t>飞书</w:t>
      </w:r>
      <w:r>
        <w:rPr>
          <w:rFonts w:hint="eastAsia" w:eastAsiaTheme="minorEastAsia"/>
          <w:b w:val="0"/>
          <w:bCs w:val="0"/>
          <w:lang w:eastAsia="zh-CN"/>
        </w:rPr>
        <w:t>）进行，禁止仅通过私人社交软件进行关键决策。</w:t>
      </w:r>
    </w:p>
    <w:p w14:paraId="3932967C">
      <w:pPr>
        <w:jc w:val="both"/>
        <w:rPr>
          <w:rFonts w:hint="eastAsia" w:eastAsiaTheme="minorEastAsia"/>
          <w:b w:val="0"/>
          <w:bCs w:val="0"/>
          <w:lang w:eastAsia="zh-CN"/>
        </w:rPr>
      </w:pPr>
    </w:p>
    <w:p w14:paraId="550F85A4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代测项目管理员（PM）需对每次关键沟通进行摘要记录，并填写《</w:t>
      </w:r>
      <w:r>
        <w:rPr>
          <w:rFonts w:hint="eastAsia"/>
          <w:b w:val="0"/>
          <w:bCs w:val="0"/>
          <w:lang w:eastAsia="zh-CN"/>
        </w:rPr>
        <w:t>代测服务</w:t>
      </w:r>
      <w:r>
        <w:rPr>
          <w:rFonts w:hint="eastAsia" w:eastAsiaTheme="minorEastAsia"/>
          <w:b w:val="0"/>
          <w:bCs w:val="0"/>
          <w:lang w:eastAsia="zh-CN"/>
        </w:rPr>
        <w:t>进程记录表》（附件1），确保</w:t>
      </w:r>
      <w:r>
        <w:rPr>
          <w:rFonts w:hint="eastAsia"/>
          <w:b w:val="0"/>
          <w:bCs w:val="0"/>
          <w:lang w:eastAsia="zh-CN"/>
        </w:rPr>
        <w:t>信息不统一</w:t>
      </w:r>
      <w:r>
        <w:rPr>
          <w:rFonts w:hint="eastAsia" w:eastAsiaTheme="minorEastAsia"/>
          <w:b w:val="0"/>
          <w:bCs w:val="0"/>
          <w:lang w:eastAsia="zh-CN"/>
        </w:rPr>
        <w:t>时有据可查。</w:t>
      </w:r>
    </w:p>
    <w:p w14:paraId="41244964">
      <w:pPr>
        <w:jc w:val="both"/>
        <w:rPr>
          <w:rFonts w:hint="eastAsia" w:eastAsiaTheme="minorEastAsia"/>
          <w:b w:val="0"/>
          <w:bCs w:val="0"/>
          <w:lang w:eastAsia="zh-CN"/>
        </w:rPr>
      </w:pPr>
    </w:p>
    <w:p w14:paraId="73CC65E9">
      <w:pPr>
        <w:jc w:val="both"/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t>第五条 样本信息管理制度</w:t>
      </w:r>
    </w:p>
    <w:p w14:paraId="7C4B5F3A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客户在邮寄样本前，必须完整、准确地填写由研发部提供的标准化《代测样本信息表》（附件2）。此表为样本接收和实验设计的唯一依据。</w:t>
      </w:r>
    </w:p>
    <w:p w14:paraId="723B491F">
      <w:pPr>
        <w:jc w:val="both"/>
        <w:rPr>
          <w:rFonts w:hint="eastAsia" w:eastAsiaTheme="minorEastAsia"/>
          <w:b w:val="0"/>
          <w:bCs w:val="0"/>
          <w:lang w:eastAsia="zh-CN"/>
        </w:rPr>
      </w:pPr>
    </w:p>
    <w:p w14:paraId="3AF1335C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样本送达后，由PM或指定接收人根据《代测样本信息表》及实物进行现场核对。核对无误后，双方签字确认《样本接收确认单》（附件3）。任何信息不符或样本异常，均需立即与客户书面确认，方可进入下一环节。</w:t>
      </w:r>
    </w:p>
    <w:p w14:paraId="7B1A1D44">
      <w:pPr>
        <w:jc w:val="both"/>
        <w:rPr>
          <w:rFonts w:hint="eastAsia" w:eastAsiaTheme="minorEastAsia"/>
          <w:b w:val="0"/>
          <w:bCs w:val="0"/>
          <w:lang w:eastAsia="zh-CN"/>
        </w:rPr>
      </w:pPr>
    </w:p>
    <w:p w14:paraId="052C271F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第六条 合同管理制度</w:t>
      </w:r>
    </w:p>
    <w:p w14:paraId="756C8A50">
      <w:pPr>
        <w:jc w:val="both"/>
        <w:rPr>
          <w:rFonts w:hint="eastAsia" w:eastAsiaTheme="minorEastAsia"/>
          <w:b w:val="0"/>
          <w:bCs w:val="0"/>
          <w:lang w:eastAsia="zh-CN"/>
        </w:rPr>
      </w:pPr>
    </w:p>
    <w:p w14:paraId="5544AFE8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所有代测项目在订单确定后、实验开始前，必须与客户签署《代测服务合同》（附件4）。</w:t>
      </w:r>
    </w:p>
    <w:p w14:paraId="261B00C2">
      <w:pPr>
        <w:jc w:val="both"/>
        <w:rPr>
          <w:rFonts w:hint="eastAsia" w:eastAsiaTheme="minorEastAsia"/>
          <w:b w:val="0"/>
          <w:bCs w:val="0"/>
          <w:lang w:eastAsia="zh-CN"/>
        </w:rPr>
      </w:pPr>
    </w:p>
    <w:p w14:paraId="08B7BF48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合同须明确包含：项目名称、客户及样本详细信息、实验流程与标准、结果交付形式与时间、样本寄送与返还条款、费用及结算方式、双方责任与保密条款。</w:t>
      </w:r>
    </w:p>
    <w:p w14:paraId="46F3C5C9">
      <w:pPr>
        <w:jc w:val="both"/>
        <w:rPr>
          <w:rFonts w:hint="eastAsia" w:eastAsiaTheme="minorEastAsia"/>
          <w:b w:val="0"/>
          <w:bCs w:val="0"/>
          <w:lang w:eastAsia="zh-CN"/>
        </w:rPr>
      </w:pPr>
    </w:p>
    <w:p w14:paraId="272428CD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合同由区域经理/代理商负责与客户拟定并签署，签署后的合同扫描件需第一时间交由PM归档，作为项目启动的必备文件。</w:t>
      </w:r>
    </w:p>
    <w:p w14:paraId="1416DF66">
      <w:pPr>
        <w:jc w:val="both"/>
        <w:rPr>
          <w:rFonts w:hint="eastAsia" w:eastAsiaTheme="minorEastAsia"/>
          <w:b w:val="0"/>
          <w:bCs w:val="0"/>
          <w:lang w:eastAsia="zh-CN"/>
        </w:rPr>
      </w:pPr>
    </w:p>
    <w:p w14:paraId="2CFBD9CC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第七条 文档归档制度</w:t>
      </w:r>
    </w:p>
    <w:p w14:paraId="04637AC9">
      <w:pPr>
        <w:jc w:val="both"/>
        <w:rPr>
          <w:rFonts w:hint="eastAsia" w:eastAsiaTheme="minorEastAsia"/>
          <w:b w:val="0"/>
          <w:bCs w:val="0"/>
          <w:lang w:eastAsia="zh-CN"/>
        </w:rPr>
      </w:pPr>
    </w:p>
    <w:p w14:paraId="64AA4762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项目结束后，PM负责在5个工作日内将完整项目档案归档，包括但不限于：《代测服务合同》、《代测样本信息表》、《样本接收确认单》、</w:t>
      </w:r>
      <w:r>
        <w:rPr>
          <w:rFonts w:hint="eastAsia"/>
          <w:b w:val="0"/>
          <w:bCs w:val="0"/>
          <w:lang w:eastAsia="zh-CN"/>
        </w:rPr>
        <w:t>《代测服务预实验合同</w:t>
      </w:r>
      <w:bookmarkStart w:id="0" w:name="_GoBack"/>
      <w:bookmarkEnd w:id="0"/>
      <w:r>
        <w:rPr>
          <w:rFonts w:hint="eastAsia"/>
          <w:b w:val="0"/>
          <w:bCs w:val="0"/>
          <w:lang w:eastAsia="zh-CN"/>
        </w:rPr>
        <w:t>》</w:t>
      </w:r>
      <w:r>
        <w:rPr>
          <w:rFonts w:hint="eastAsia" w:eastAsiaTheme="minorEastAsia"/>
          <w:b w:val="0"/>
          <w:bCs w:val="0"/>
          <w:lang w:eastAsia="zh-CN"/>
        </w:rPr>
        <w:t>《</w:t>
      </w:r>
      <w:r>
        <w:rPr>
          <w:rFonts w:hint="eastAsia"/>
          <w:b w:val="0"/>
          <w:bCs w:val="0"/>
          <w:lang w:eastAsia="zh-CN"/>
        </w:rPr>
        <w:t>代测服务</w:t>
      </w:r>
      <w:r>
        <w:rPr>
          <w:rFonts w:hint="eastAsia" w:eastAsiaTheme="minorEastAsia"/>
          <w:b w:val="0"/>
          <w:bCs w:val="0"/>
          <w:lang w:eastAsia="zh-CN"/>
        </w:rPr>
        <w:t>进程记录表》、原始数据、最终报告、关键沟通邮件记录等。</w:t>
      </w:r>
    </w:p>
    <w:p w14:paraId="183775EA">
      <w:pPr>
        <w:jc w:val="both"/>
        <w:rPr>
          <w:rFonts w:hint="eastAsia" w:eastAsiaTheme="minorEastAsia"/>
          <w:b w:val="0"/>
          <w:bCs w:val="0"/>
          <w:lang w:eastAsia="zh-CN"/>
        </w:rPr>
      </w:pPr>
    </w:p>
    <w:p w14:paraId="06337EEB">
      <w:pPr>
        <w:jc w:val="both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t>所有归档资料需以“项目编号+客户名称”命名，电子版与纸质版同步保存，保存期限不低于5年，以便随时查阅。</w:t>
      </w:r>
    </w:p>
    <w:p w14:paraId="68C0CE4E">
      <w:pPr>
        <w:jc w:val="both"/>
        <w:rPr>
          <w:rFonts w:hint="eastAsia" w:eastAsiaTheme="minorEastAsia"/>
          <w:b w:val="0"/>
          <w:bCs w:val="0"/>
          <w:lang w:eastAsia="zh-CN"/>
        </w:rPr>
      </w:pPr>
    </w:p>
    <w:p w14:paraId="0527575D">
      <w:pPr>
        <w:jc w:val="both"/>
        <w:rPr>
          <w:rFonts w:hint="eastAsia" w:eastAsiaTheme="minorEastAsia"/>
          <w:b w:val="0"/>
          <w:bCs w:val="0"/>
          <w:lang w:eastAsia="zh-CN"/>
        </w:rPr>
      </w:pPr>
    </w:p>
    <w:p w14:paraId="7062C0FB">
      <w:pPr>
        <w:jc w:val="center"/>
        <w:rPr>
          <w:rFonts w:hint="eastAsia"/>
          <w:b/>
          <w:bCs/>
        </w:rPr>
      </w:pPr>
    </w:p>
    <w:p w14:paraId="459AF826">
      <w:pPr>
        <w:jc w:val="center"/>
        <w:rPr>
          <w:rFonts w:hint="eastAsia"/>
          <w:b/>
          <w:bCs/>
        </w:rPr>
      </w:pPr>
    </w:p>
    <w:p w14:paraId="1503AA9C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普美生物代测服务售后流程规范</w:t>
      </w:r>
    </w:p>
    <w:p w14:paraId="18606710">
      <w:pPr>
        <w:rPr>
          <w:rFonts w:hint="eastAsia"/>
        </w:rPr>
      </w:pPr>
    </w:p>
    <w:p w14:paraId="4D4A14BC">
      <w:pPr>
        <w:rPr>
          <w:rFonts w:hint="eastAsia"/>
        </w:rPr>
      </w:pPr>
    </w:p>
    <w:p w14:paraId="2EA0341A">
      <w:pPr>
        <w:rPr>
          <w:rFonts w:hint="eastAsia"/>
          <w:b/>
          <w:bCs/>
        </w:rPr>
      </w:pPr>
      <w:r>
        <w:rPr>
          <w:rFonts w:hint="eastAsia"/>
          <w:b/>
          <w:bCs/>
        </w:rPr>
        <w:t>第一章 总则</w:t>
      </w:r>
    </w:p>
    <w:p w14:paraId="572B7403">
      <w:pPr>
        <w:rPr>
          <w:rFonts w:hint="eastAsia"/>
        </w:rPr>
      </w:pPr>
      <w:r>
        <w:rPr>
          <w:rFonts w:hint="eastAsia"/>
        </w:rPr>
        <w:t>为建立标准、高效、专业的代测服务售后支持体系，确保客户在收到结果后的问题能得到及时、准确的解决，提升客户满意度与信任度，特制定本流程。</w:t>
      </w:r>
    </w:p>
    <w:p w14:paraId="20E9E9AF">
      <w:pPr>
        <w:rPr>
          <w:rFonts w:hint="eastAsia"/>
        </w:rPr>
      </w:pPr>
    </w:p>
    <w:p w14:paraId="6752E777">
      <w:pPr>
        <w:rPr>
          <w:rFonts w:hint="eastAsia"/>
          <w:b/>
          <w:bCs/>
        </w:rPr>
      </w:pPr>
      <w:r>
        <w:rPr>
          <w:rFonts w:hint="eastAsia"/>
          <w:b/>
          <w:bCs/>
        </w:rPr>
        <w:t>第二章 售后流程与职责</w:t>
      </w:r>
    </w:p>
    <w:p w14:paraId="514C4FFE">
      <w:pPr>
        <w:rPr>
          <w:rFonts w:hint="eastAsia"/>
        </w:rPr>
      </w:pPr>
      <w:r>
        <w:rPr>
          <w:rFonts w:hint="eastAsia"/>
        </w:rPr>
        <w:t>售后流程始于报告交付，核心在于对客户反馈进行分级响应、专业判断与闭环处理。</w:t>
      </w:r>
    </w:p>
    <w:p w14:paraId="75602537">
      <w:pPr>
        <w:rPr>
          <w:rFonts w:hint="eastAsia"/>
          <w:lang w:eastAsia="zh-CN"/>
        </w:rPr>
      </w:pPr>
    </w:p>
    <w:p w14:paraId="5E90949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各环节关键职责说明：</w:t>
      </w:r>
    </w:p>
    <w:p w14:paraId="461C729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第一层响应：接收与记录</w:t>
      </w:r>
    </w:p>
    <w:p w14:paraId="11CAF0FE">
      <w:pPr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eastAsia="zh-CN"/>
        </w:rPr>
        <w:t>执行人：代测项目管理员</w:t>
      </w:r>
      <w:r>
        <w:rPr>
          <w:rFonts w:hint="eastAsia"/>
          <w:lang w:val="en-US" w:eastAsia="zh-CN"/>
        </w:rPr>
        <w:t>PM</w:t>
      </w:r>
    </w:p>
    <w:p w14:paraId="655B61D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动作：无论客户通过何种渠道反馈，PM需在1个工作日内响应，并在《</w:t>
      </w:r>
      <w:r>
        <w:rPr>
          <w:rFonts w:hint="eastAsia"/>
          <w:lang w:eastAsia="zh-CN"/>
        </w:rPr>
        <w:t>代测</w:t>
      </w:r>
      <w:r>
        <w:rPr>
          <w:rFonts w:hint="eastAsia" w:eastAsiaTheme="minorEastAsia"/>
          <w:lang w:eastAsia="zh-CN"/>
        </w:rPr>
        <w:t>售后问题记录表》中详细记录客户信息、问题描述、期望解决方式及接收时间。</w:t>
      </w:r>
    </w:p>
    <w:p w14:paraId="4BDF1804">
      <w:pPr>
        <w:rPr>
          <w:rFonts w:hint="eastAsia" w:eastAsiaTheme="minorEastAsia"/>
          <w:lang w:eastAsia="zh-CN"/>
        </w:rPr>
      </w:pPr>
    </w:p>
    <w:p w14:paraId="76A7C2D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第二层处理：问题分类与初步处理</w:t>
      </w:r>
    </w:p>
    <w:p w14:paraId="6C4CF1B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执行人：PM协同技术负责人（研发部）/区域经理</w:t>
      </w:r>
    </w:p>
    <w:p w14:paraId="013C1CE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动作：</w:t>
      </w:r>
    </w:p>
    <w:p w14:paraId="0563EA4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技术性质疑：PM将问题及所有相关原始数据、记录提交研发部指定技术负责人。</w:t>
      </w:r>
    </w:p>
    <w:p w14:paraId="2492102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非技术问题：PM协同区域经理，核查服务流程记录与合同条款，界定问题性质。</w:t>
      </w:r>
    </w:p>
    <w:p w14:paraId="359DAEAC">
      <w:pPr>
        <w:rPr>
          <w:rFonts w:hint="eastAsia" w:eastAsiaTheme="minorEastAsia"/>
          <w:lang w:eastAsia="zh-CN"/>
        </w:rPr>
      </w:pPr>
    </w:p>
    <w:p w14:paraId="3159691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第三层处理：方案制定与审批</w:t>
      </w:r>
    </w:p>
    <w:p w14:paraId="0FDFA9B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执行人：PM</w:t>
      </w:r>
    </w:p>
    <w:p w14:paraId="5071407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动作：基于第二层处理的结论，拟定书面处理方案，并</w:t>
      </w:r>
      <w:r>
        <w:rPr>
          <w:rFonts w:hint="eastAsia"/>
          <w:lang w:eastAsia="zh-CN"/>
        </w:rPr>
        <w:t>同步在飞书共享文件《代测服务跟进表》，并</w:t>
      </w:r>
      <w:r>
        <w:rPr>
          <w:rFonts w:hint="eastAsia"/>
          <w:lang w:val="en-US" w:eastAsia="zh-CN"/>
        </w:rPr>
        <w:t>@相关同事查阅，同步信息</w:t>
      </w:r>
      <w:r>
        <w:rPr>
          <w:rFonts w:hint="eastAsia" w:eastAsiaTheme="minorEastAsia"/>
          <w:lang w:eastAsia="zh-CN"/>
        </w:rPr>
        <w:t>。</w:t>
      </w:r>
    </w:p>
    <w:p w14:paraId="2F90AF1C">
      <w:pPr>
        <w:rPr>
          <w:rFonts w:hint="eastAsia" w:eastAsiaTheme="minorEastAsia"/>
          <w:lang w:eastAsia="zh-CN"/>
        </w:rPr>
      </w:pPr>
    </w:p>
    <w:p w14:paraId="4F72369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第四层处理：方案执行、反馈与关闭</w:t>
      </w:r>
    </w:p>
    <w:p w14:paraId="30F0B0B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执行人：PM及相关部门</w:t>
      </w:r>
    </w:p>
    <w:p w14:paraId="75F1933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动作：执行获批方案，向客户正式回复，获得客户确认后，将所有记录</w:t>
      </w:r>
      <w:r>
        <w:rPr>
          <w:rFonts w:hint="eastAsia"/>
          <w:lang w:eastAsia="zh-CN"/>
        </w:rPr>
        <w:t>在飞书</w:t>
      </w:r>
      <w:r>
        <w:rPr>
          <w:rFonts w:hint="eastAsia" w:eastAsiaTheme="minorEastAsia"/>
          <w:lang w:eastAsia="zh-CN"/>
        </w:rPr>
        <w:t>归档，关闭问题。</w:t>
      </w:r>
    </w:p>
    <w:p w14:paraId="3B087E0B">
      <w:pPr>
        <w:rPr>
          <w:rFonts w:hint="eastAsia" w:eastAsiaTheme="minorEastAsia"/>
          <w:lang w:eastAsia="zh-CN"/>
        </w:rPr>
      </w:pPr>
    </w:p>
    <w:p w14:paraId="4B6DE8FF">
      <w:pPr>
        <w:numPr>
          <w:ilvl w:val="0"/>
          <w:numId w:val="2"/>
        </w:num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t>关键售后场景处理标准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3347"/>
        <w:gridCol w:w="2360"/>
      </w:tblGrid>
      <w:tr w14:paraId="532AB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371" w:type="dxa"/>
          </w:tcPr>
          <w:p w14:paraId="6E2DB834">
            <w:pPr>
              <w:numPr>
                <w:ilvl w:val="0"/>
                <w:numId w:val="0"/>
              </w:numPr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vertAlign w:val="baseline"/>
                <w:lang w:eastAsia="zh-CN"/>
              </w:rPr>
              <w:t>售后场景</w:t>
            </w:r>
          </w:p>
        </w:tc>
        <w:tc>
          <w:tcPr>
            <w:tcW w:w="3347" w:type="dxa"/>
          </w:tcPr>
          <w:p w14:paraId="6D4C21C7">
            <w:pPr>
              <w:numPr>
                <w:ilvl w:val="0"/>
                <w:numId w:val="0"/>
              </w:numPr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vertAlign w:val="baseline"/>
                <w:lang w:eastAsia="zh-CN"/>
              </w:rPr>
              <w:t>处理流程标准</w:t>
            </w:r>
          </w:p>
        </w:tc>
        <w:tc>
          <w:tcPr>
            <w:tcW w:w="2360" w:type="dxa"/>
          </w:tcPr>
          <w:p w14:paraId="25A8501F">
            <w:pPr>
              <w:numPr>
                <w:ilvl w:val="0"/>
                <w:numId w:val="0"/>
              </w:numPr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vertAlign w:val="baseline"/>
                <w:lang w:eastAsia="zh-CN"/>
              </w:rPr>
              <w:t>目标解决时限</w:t>
            </w:r>
          </w:p>
        </w:tc>
      </w:tr>
      <w:tr w14:paraId="0A9E3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</w:trPr>
        <w:tc>
          <w:tcPr>
            <w:tcW w:w="1371" w:type="dxa"/>
          </w:tcPr>
          <w:p w14:paraId="7528F0DA">
            <w:pPr>
              <w:numPr>
                <w:ilvl w:val="0"/>
                <w:numId w:val="0"/>
              </w:numPr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vertAlign w:val="baseline"/>
                <w:lang w:eastAsia="zh-CN"/>
              </w:rPr>
              <w:t>技术结果质疑</w:t>
            </w:r>
          </w:p>
        </w:tc>
        <w:tc>
          <w:tcPr>
            <w:tcW w:w="3347" w:type="dxa"/>
          </w:tcPr>
          <w:p w14:paraId="63AD0FE6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1. 研发部复核原始数据、流程记录。</w:t>
            </w:r>
          </w:p>
          <w:p w14:paraId="4A6963B6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2. 出具《技术审核报告》。</w:t>
            </w:r>
          </w:p>
          <w:p w14:paraId="1A992DCE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3. 如需，提供数据解读支持或实验原理说明。</w:t>
            </w:r>
          </w:p>
          <w:p w14:paraId="6D96DF82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4. 严重争议可提议第三方复测。</w:t>
            </w:r>
          </w:p>
        </w:tc>
        <w:tc>
          <w:tcPr>
            <w:tcW w:w="2360" w:type="dxa"/>
          </w:tcPr>
          <w:p w14:paraId="70C26837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5个工作日内出具初步书面解释</w:t>
            </w:r>
          </w:p>
        </w:tc>
      </w:tr>
      <w:tr w14:paraId="37A2F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</w:trPr>
        <w:tc>
          <w:tcPr>
            <w:tcW w:w="1371" w:type="dxa"/>
          </w:tcPr>
          <w:p w14:paraId="4FD48E44">
            <w:pPr>
              <w:numPr>
                <w:ilvl w:val="0"/>
                <w:numId w:val="0"/>
              </w:numPr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vertAlign w:val="baseline"/>
                <w:lang w:eastAsia="zh-CN"/>
              </w:rPr>
              <w:t>要求重做实验</w:t>
            </w:r>
          </w:p>
        </w:tc>
        <w:tc>
          <w:tcPr>
            <w:tcW w:w="3347" w:type="dxa"/>
          </w:tcPr>
          <w:p w14:paraId="78176EEC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1. 判断责任归属：若为公司责任（如操作失误），免费重做；若为客户原因（如样本问题），需沟通收费。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2. 签订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《实验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补充协议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》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3. 按新项目优先排期。</w:t>
            </w:r>
          </w:p>
        </w:tc>
        <w:tc>
          <w:tcPr>
            <w:tcW w:w="2360" w:type="dxa"/>
          </w:tcPr>
          <w:p w14:paraId="57CB3002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责任界定：2个工作日</w:t>
            </w:r>
          </w:p>
          <w:p w14:paraId="6BA42B8F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重做启动：协议签订后3个工作日内</w:t>
            </w:r>
          </w:p>
        </w:tc>
      </w:tr>
      <w:tr w14:paraId="7E47F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371" w:type="dxa"/>
          </w:tcPr>
          <w:p w14:paraId="52E77045">
            <w:pPr>
              <w:numPr>
                <w:ilvl w:val="0"/>
                <w:numId w:val="0"/>
              </w:numPr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vertAlign w:val="baseline"/>
                <w:lang w:eastAsia="zh-CN"/>
              </w:rPr>
              <w:t>报告信息错误</w:t>
            </w:r>
          </w:p>
        </w:tc>
        <w:tc>
          <w:tcPr>
            <w:tcW w:w="3347" w:type="dxa"/>
          </w:tcPr>
          <w:p w14:paraId="67A732DB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1. 立即更正报告并重新签发。</w:t>
            </w:r>
          </w:p>
          <w:p w14:paraId="6F0DF858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2. 书面致歉，内部追溯错误环节。</w:t>
            </w:r>
          </w:p>
          <w:p w14:paraId="2BC2ECB9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3. 记录入质量案例库。</w:t>
            </w:r>
          </w:p>
        </w:tc>
        <w:tc>
          <w:tcPr>
            <w:tcW w:w="2360" w:type="dxa"/>
          </w:tcPr>
          <w:p w14:paraId="39187544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1个工作日内完成更正</w:t>
            </w:r>
          </w:p>
        </w:tc>
      </w:tr>
      <w:tr w14:paraId="49E99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371" w:type="dxa"/>
          </w:tcPr>
          <w:p w14:paraId="3912E820">
            <w:pPr>
              <w:numPr>
                <w:ilvl w:val="0"/>
                <w:numId w:val="0"/>
              </w:numPr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vertAlign w:val="baseline"/>
                <w:lang w:eastAsia="zh-CN"/>
              </w:rPr>
              <w:t>费用结算争议</w:t>
            </w:r>
          </w:p>
        </w:tc>
        <w:tc>
          <w:tcPr>
            <w:tcW w:w="3347" w:type="dxa"/>
          </w:tcPr>
          <w:p w14:paraId="4BCF50EA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1. 区域经理依据合同条款进行解释。</w:t>
            </w:r>
          </w:p>
          <w:p w14:paraId="2B257412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2. 特殊情况需让步的，按财务授权审批。</w:t>
            </w:r>
          </w:p>
        </w:tc>
        <w:tc>
          <w:tcPr>
            <w:tcW w:w="2360" w:type="dxa"/>
          </w:tcPr>
          <w:p w14:paraId="225F8021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3个工作日内给出明确结算方案</w:t>
            </w:r>
          </w:p>
        </w:tc>
      </w:tr>
      <w:tr w14:paraId="41D1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1371" w:type="dxa"/>
          </w:tcPr>
          <w:p w14:paraId="502AD140">
            <w:pPr>
              <w:numPr>
                <w:ilvl w:val="0"/>
                <w:numId w:val="0"/>
              </w:numPr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vertAlign w:val="baseline"/>
                <w:lang w:eastAsia="zh-CN"/>
              </w:rPr>
              <w:t>服务体验投诉</w:t>
            </w:r>
          </w:p>
        </w:tc>
        <w:tc>
          <w:tcPr>
            <w:tcW w:w="3347" w:type="dxa"/>
          </w:tcPr>
          <w:p w14:paraId="389C2BAB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1. 区域经理与PM共同了解详情并致歉。</w:t>
            </w:r>
          </w:p>
          <w:p w14:paraId="296FE79C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2. 提出改进措施，反馈给客户。</w:t>
            </w:r>
          </w:p>
          <w:p w14:paraId="047D5F00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3. 纳入服务培训案例。</w:t>
            </w:r>
          </w:p>
        </w:tc>
        <w:tc>
          <w:tcPr>
            <w:tcW w:w="2360" w:type="dxa"/>
          </w:tcPr>
          <w:p w14:paraId="24C58A40">
            <w:pPr>
              <w:numPr>
                <w:ilvl w:val="0"/>
                <w:numId w:val="0"/>
              </w:num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2个工作日内联系客户沟通</w:t>
            </w:r>
          </w:p>
        </w:tc>
      </w:tr>
    </w:tbl>
    <w:p w14:paraId="53236C6A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049A9B94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第四章 售后支持工具与文档</w:t>
      </w:r>
    </w:p>
    <w:p w14:paraId="1F11A9FA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核心文档：</w:t>
      </w:r>
    </w:p>
    <w:p w14:paraId="39507B61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《代测售后问题记录表》</w:t>
      </w:r>
    </w:p>
    <w:p w14:paraId="3B3DE675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《代测服务</w:t>
      </w:r>
      <w:r>
        <w:rPr>
          <w:rFonts w:hint="eastAsia"/>
          <w:lang w:eastAsia="zh-CN"/>
        </w:rPr>
        <w:t>进程记录表</w:t>
      </w:r>
      <w:r>
        <w:rPr>
          <w:rFonts w:hint="eastAsia" w:eastAsiaTheme="minorEastAsia"/>
          <w:lang w:eastAsia="zh-CN"/>
        </w:rPr>
        <w:t>》</w:t>
      </w:r>
    </w:p>
    <w:p w14:paraId="2E765114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《补充实验协议》模板</w:t>
      </w:r>
    </w:p>
    <w:p w14:paraId="2BCADFC8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6FF135C7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支持系统：所有售后问题必须录入公司客户关系管理系统，确保状态可跟踪。</w:t>
      </w:r>
    </w:p>
    <w:p w14:paraId="03E23503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6BC02904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第五章 附则</w:t>
      </w:r>
    </w:p>
    <w:p w14:paraId="50A8943E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本流程是《代测服务管理制度》的重要组成部分，旨在通过结构化、分级化的处理机制，将售后问题从“被动应对”转变为“主动管理”，在维护公司专业形象与合理权益的同时，最大化提升客户信任。流程自发布之日起执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A1E819"/>
    <w:multiLevelType w:val="singleLevel"/>
    <w:tmpl w:val="18A1E819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69EF51A2"/>
    <w:multiLevelType w:val="singleLevel"/>
    <w:tmpl w:val="69EF51A2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FB1F99"/>
    <w:rsid w:val="0EF407B4"/>
    <w:rsid w:val="48587156"/>
    <w:rsid w:val="54A622EE"/>
    <w:rsid w:val="63A443FE"/>
    <w:rsid w:val="6EB3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1759</Words>
  <Characters>1779</Characters>
  <Lines>0</Lines>
  <Paragraphs>0</Paragraphs>
  <TotalTime>64</TotalTime>
  <ScaleCrop>false</ScaleCrop>
  <LinksUpToDate>false</LinksUpToDate>
  <CharactersWithSpaces>1794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2025-12-17T01:38:00Z</dcterms:created>
  <dc:creator>Administrator</dc:creator>
  <cp:lastModifiedBy>FFF</cp:lastModifiedBy>
  <dcterms:modified xsi:type="dcterms:W3CDTF">2025-12-22T08:50:09Z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eyJoZGlkIjoiOTk5MDBhZTJjYWEwZWNlMTM3ODhjYmMwNmY2Zjc4Y2IiLCJ1c2VySWQiOiI2MzQ5NTQ0MzcifQ==</vt:lpwstr>
  </property>
  <property fmtid="{D5CDD505-2E9C-101B-9397-08002B2CF9AE}" pid="4" name="ICV">
    <vt:lpwstr>87235AAFC7CB4AE3AC3AEC76EB9475A2_12</vt:lpwstr>
  </property>
</Properties>
</file>